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4A" w:rsidRDefault="006C4E4A">
      <w:pPr>
        <w:pStyle w:val="Title"/>
      </w:pPr>
    </w:p>
    <w:p w:rsidR="006C4E4A" w:rsidRDefault="006C4E4A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RISK ANALYSIS AND MANAGEMENT SYSTEM</w:t>
      </w:r>
    </w:p>
    <w:p w:rsidR="006C4E4A" w:rsidRDefault="006C4E4A">
      <w:pPr>
        <w:jc w:val="center"/>
        <w:rPr>
          <w:rFonts w:ascii="Arial" w:hAnsi="Arial"/>
          <w:b/>
          <w:sz w:val="32"/>
        </w:rPr>
      </w:pPr>
    </w:p>
    <w:p w:rsidR="006C4E4A" w:rsidRDefault="006C4E4A">
      <w:pPr>
        <w:rPr>
          <w:rFonts w:ascii="Lucida Casual" w:hAnsi="Lucida Casual"/>
          <w:b/>
          <w:sz w:val="24"/>
        </w:rPr>
      </w:pPr>
      <w:r>
        <w:rPr>
          <w:rFonts w:ascii="Arial" w:hAnsi="Arial"/>
          <w:b/>
          <w:sz w:val="24"/>
        </w:rPr>
        <w:t xml:space="preserve">ACTIVITY/SITUATION: </w:t>
      </w:r>
      <w:proofErr w:type="spellStart"/>
      <w:r w:rsidR="002929A6">
        <w:rPr>
          <w:rFonts w:ascii="Arial" w:hAnsi="Arial"/>
          <w:b/>
          <w:sz w:val="24"/>
        </w:rPr>
        <w:t>Mahoenui</w:t>
      </w:r>
      <w:proofErr w:type="spellEnd"/>
      <w:r w:rsidR="002929A6">
        <w:rPr>
          <w:rFonts w:ascii="Arial" w:hAnsi="Arial"/>
          <w:b/>
          <w:sz w:val="24"/>
        </w:rPr>
        <w:t xml:space="preserve"> Giant Weta Reserve</w:t>
      </w:r>
      <w:r>
        <w:rPr>
          <w:rFonts w:ascii="Lucida Casual" w:hAnsi="Lucida Casual"/>
          <w:b/>
          <w:sz w:val="24"/>
        </w:rPr>
        <w:tab/>
        <w:t xml:space="preserve">           </w:t>
      </w:r>
    </w:p>
    <w:p w:rsidR="00AA796C" w:rsidRDefault="00AA796C">
      <w:pPr>
        <w:rPr>
          <w:rFonts w:ascii="Arial" w:hAnsi="Arial"/>
          <w:b/>
          <w:sz w:val="24"/>
        </w:rPr>
      </w:pPr>
    </w:p>
    <w:tbl>
      <w:tblPr>
        <w:tblW w:w="0" w:type="auto"/>
        <w:tblLayout w:type="fixed"/>
        <w:tblLook w:val="0000"/>
      </w:tblPr>
      <w:tblGrid>
        <w:gridCol w:w="2376"/>
        <w:gridCol w:w="2493"/>
        <w:gridCol w:w="2493"/>
        <w:gridCol w:w="2493"/>
      </w:tblGrid>
      <w:tr w:rsidR="006C4E4A">
        <w:trPr>
          <w:cantSplit/>
        </w:trPr>
        <w:tc>
          <w:tcPr>
            <w:tcW w:w="2376" w:type="dxa"/>
          </w:tcPr>
          <w:p w:rsidR="006C4E4A" w:rsidRDefault="006C4E4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</w:t>
            </w:r>
            <w:r>
              <w:rPr>
                <w:rFonts w:ascii="Arial" w:hAnsi="Arial"/>
                <w:b/>
                <w:sz w:val="22"/>
              </w:rPr>
              <w:t>Analysis</w:t>
            </w:r>
          </w:p>
        </w:tc>
        <w:tc>
          <w:tcPr>
            <w:tcW w:w="7479" w:type="dxa"/>
            <w:gridSpan w:val="3"/>
          </w:tcPr>
          <w:p w:rsidR="006C4E4A" w:rsidRDefault="006C4E4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Description</w:t>
            </w:r>
          </w:p>
        </w:tc>
      </w:tr>
      <w:tr w:rsidR="006C4E4A">
        <w:trPr>
          <w:cantSplit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UNDESIRED EVENT(S)</w:t>
            </w: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2"/>
              </w:rPr>
              <w:t>Accident, injury, other forms of damage</w:t>
            </w:r>
          </w:p>
          <w:p w:rsidR="006C4E4A" w:rsidRDefault="006C4E4A">
            <w:pPr>
              <w:rPr>
                <w:rFonts w:ascii="Arial" w:hAnsi="Arial"/>
              </w:rPr>
            </w:pPr>
          </w:p>
        </w:tc>
        <w:tc>
          <w:tcPr>
            <w:tcW w:w="7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Pr="006C4E4A" w:rsidRDefault="006C4E4A"/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Injury from falling/ being knocked down in the </w:t>
            </w:r>
            <w:r w:rsidR="00CC3C5A">
              <w:rPr>
                <w:sz w:val="22"/>
              </w:rPr>
              <w:t>gorse.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Psychological distress – fear of </w:t>
            </w:r>
            <w:r w:rsidR="002929A6">
              <w:rPr>
                <w:sz w:val="22"/>
              </w:rPr>
              <w:t>creepy crawlies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Becoming lost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Damage to natural resources</w:t>
            </w:r>
          </w:p>
          <w:p w:rsidR="006C4E4A" w:rsidRDefault="009F6473">
            <w:pPr>
              <w:rPr>
                <w:sz w:val="22"/>
              </w:rPr>
            </w:pPr>
            <w:r>
              <w:rPr>
                <w:sz w:val="22"/>
              </w:rPr>
              <w:t>Shock from electric fence</w:t>
            </w:r>
          </w:p>
          <w:p w:rsidR="009F6473" w:rsidRPr="00EB4A9E" w:rsidRDefault="009F6473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Medical emergency</w:t>
            </w:r>
          </w:p>
          <w:p w:rsidR="009F6473" w:rsidRPr="00EB4A9E" w:rsidRDefault="009F6473" w:rsidP="009F6473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Accident on way to activity</w:t>
            </w:r>
          </w:p>
          <w:p w:rsidR="009F6473" w:rsidRPr="00EB4A9E" w:rsidRDefault="009F6473" w:rsidP="009F6473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Leaving equipment behind</w:t>
            </w:r>
          </w:p>
          <w:p w:rsidR="009F6473" w:rsidRPr="006C4E4A" w:rsidRDefault="009F6473">
            <w:pPr>
              <w:rPr>
                <w:sz w:val="22"/>
              </w:rPr>
            </w:pPr>
          </w:p>
        </w:tc>
      </w:tr>
      <w:tr w:rsidR="006C4E4A">
        <w:trPr>
          <w:cantSplit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4E4A" w:rsidRDefault="006C4E4A">
            <w:pPr>
              <w:rPr>
                <w:rFonts w:ascii="Arial" w:hAnsi="Arial"/>
              </w:rPr>
            </w:pP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Pr="006C4E4A" w:rsidRDefault="006C4E4A">
            <w:pPr>
              <w:jc w:val="center"/>
              <w:rPr>
                <w:sz w:val="22"/>
              </w:rPr>
            </w:pPr>
            <w:r w:rsidRPr="006C4E4A">
              <w:rPr>
                <w:b/>
                <w:sz w:val="22"/>
              </w:rPr>
              <w:t>People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4E4A" w:rsidRPr="006C4E4A" w:rsidRDefault="006C4E4A">
            <w:pPr>
              <w:jc w:val="center"/>
              <w:rPr>
                <w:sz w:val="22"/>
              </w:rPr>
            </w:pPr>
            <w:r w:rsidRPr="006C4E4A">
              <w:rPr>
                <w:b/>
                <w:sz w:val="22"/>
              </w:rPr>
              <w:t>Equipment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C4E4A" w:rsidRPr="006C4E4A" w:rsidRDefault="006C4E4A">
            <w:pPr>
              <w:jc w:val="center"/>
              <w:rPr>
                <w:sz w:val="22"/>
              </w:rPr>
            </w:pPr>
            <w:r w:rsidRPr="006C4E4A">
              <w:rPr>
                <w:b/>
                <w:sz w:val="22"/>
              </w:rPr>
              <w:t>Environment</w:t>
            </w:r>
          </w:p>
        </w:tc>
      </w:tr>
      <w:tr w:rsidR="006C4E4A">
        <w:trPr>
          <w:cantSplit/>
        </w:trPr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CAUSAL</w:t>
            </w: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FACTORS</w:t>
            </w: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</w:rPr>
            </w:pP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Unskilled driver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Overseas drivers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Poor behavioural management or communication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Peer pressure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Hyperactivity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Unfit students/adults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Undisclosed medication/illness</w:t>
            </w:r>
          </w:p>
          <w:p w:rsidR="006C4E4A" w:rsidRPr="006C4E4A" w:rsidRDefault="006C4E4A" w:rsidP="00EB4A9E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Lack of understanding of activity 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Pr="00EB4A9E" w:rsidRDefault="00EB4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Poorly maintained vehicle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Unsuitable clothing and footwear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No food or drink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Busy rural roads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Multiple hazards on road</w:t>
            </w:r>
          </w:p>
          <w:p w:rsidR="006C4E4A" w:rsidRPr="00EB4A9E" w:rsidRDefault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Wet or hazardous road conditions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Cold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Wet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Slippery surfaces</w:t>
            </w:r>
          </w:p>
          <w:p w:rsidR="00770A07" w:rsidRDefault="002929A6">
            <w:pPr>
              <w:rPr>
                <w:sz w:val="22"/>
              </w:rPr>
            </w:pPr>
            <w:r>
              <w:rPr>
                <w:sz w:val="22"/>
              </w:rPr>
              <w:t>Steep slopes</w:t>
            </w:r>
          </w:p>
          <w:p w:rsidR="002929A6" w:rsidRDefault="002929A6">
            <w:pPr>
              <w:rPr>
                <w:sz w:val="22"/>
              </w:rPr>
            </w:pPr>
            <w:r>
              <w:rPr>
                <w:sz w:val="22"/>
              </w:rPr>
              <w:t>Gorse bushes</w:t>
            </w:r>
          </w:p>
          <w:p w:rsidR="002929A6" w:rsidRDefault="002929A6">
            <w:pPr>
              <w:rPr>
                <w:sz w:val="22"/>
              </w:rPr>
            </w:pPr>
            <w:r>
              <w:rPr>
                <w:sz w:val="22"/>
              </w:rPr>
              <w:t>Farm animals</w:t>
            </w:r>
          </w:p>
          <w:p w:rsidR="00CC3C5A" w:rsidRDefault="00CC3C5A">
            <w:pPr>
              <w:rPr>
                <w:sz w:val="22"/>
              </w:rPr>
            </w:pPr>
            <w:r>
              <w:rPr>
                <w:sz w:val="22"/>
              </w:rPr>
              <w:t>Electric fences</w:t>
            </w:r>
          </w:p>
          <w:p w:rsidR="009F6473" w:rsidRDefault="009F6473">
            <w:pPr>
              <w:rPr>
                <w:sz w:val="22"/>
              </w:rPr>
            </w:pPr>
            <w:r>
              <w:rPr>
                <w:sz w:val="22"/>
              </w:rPr>
              <w:t>Wasps/Bees</w:t>
            </w:r>
          </w:p>
          <w:p w:rsidR="006C4E4A" w:rsidRPr="006C4E4A" w:rsidRDefault="006C4E4A">
            <w:pPr>
              <w:rPr>
                <w:sz w:val="22"/>
              </w:rPr>
            </w:pPr>
          </w:p>
        </w:tc>
      </w:tr>
      <w:tr w:rsidR="006C4E4A">
        <w:trPr>
          <w:cantSplit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Pr="006C4E4A" w:rsidRDefault="006C4E4A">
            <w:pPr>
              <w:jc w:val="center"/>
            </w:pPr>
            <w:r w:rsidRPr="006C4E4A">
              <w:rPr>
                <w:b/>
                <w:sz w:val="22"/>
              </w:rPr>
              <w:t>Normal Operations</w:t>
            </w:r>
          </w:p>
        </w:tc>
      </w:tr>
      <w:tr w:rsidR="006C4E4A">
        <w:trPr>
          <w:cantSplit/>
          <w:trHeight w:val="1134"/>
        </w:trPr>
        <w:tc>
          <w:tcPr>
            <w:tcW w:w="2376" w:type="dxa"/>
            <w:tcBorders>
              <w:left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pStyle w:val="Heading1"/>
            </w:pPr>
            <w:r>
              <w:t>RISK</w:t>
            </w: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MANAGEMENT STRATEGIES</w:t>
            </w:r>
          </w:p>
          <w:p w:rsidR="006C4E4A" w:rsidRDefault="006C4E4A">
            <w:pPr>
              <w:rPr>
                <w:rFonts w:ascii="Arial" w:hAnsi="Arial"/>
              </w:rPr>
            </w:pP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9A6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Appropriate adult : student ratio – 1:7 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Clear briefing to parents and students (see later notes).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List of medical conditions of students and any given medication (held by the teacher).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Ensure vehicle maintenance is done and vehicle is checked before use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Pack correct equipment for activity</w:t>
            </w:r>
          </w:p>
          <w:p w:rsidR="002929A6" w:rsidRDefault="00EB4A9E">
            <w:pPr>
              <w:rPr>
                <w:sz w:val="22"/>
              </w:rPr>
            </w:pPr>
            <w:r>
              <w:rPr>
                <w:sz w:val="22"/>
              </w:rPr>
              <w:t>S</w:t>
            </w:r>
            <w:r w:rsidR="002929A6">
              <w:rPr>
                <w:sz w:val="22"/>
              </w:rPr>
              <w:t xml:space="preserve">chool to bring their own </w:t>
            </w:r>
            <w:r w:rsidR="006C4E4A" w:rsidRPr="006C4E4A">
              <w:rPr>
                <w:sz w:val="22"/>
              </w:rPr>
              <w:t>1</w:t>
            </w:r>
            <w:r w:rsidR="006C4E4A" w:rsidRPr="006C4E4A">
              <w:rPr>
                <w:sz w:val="22"/>
                <w:vertAlign w:val="superscript"/>
              </w:rPr>
              <w:t>st</w:t>
            </w:r>
            <w:r w:rsidR="006C4E4A" w:rsidRPr="006C4E4A">
              <w:rPr>
                <w:sz w:val="22"/>
              </w:rPr>
              <w:t xml:space="preserve"> Aid Kit </w:t>
            </w:r>
          </w:p>
          <w:p w:rsidR="00770A07" w:rsidRDefault="00770A07">
            <w:pPr>
              <w:rPr>
                <w:sz w:val="22"/>
              </w:rPr>
            </w:pPr>
            <w:r>
              <w:rPr>
                <w:sz w:val="22"/>
              </w:rPr>
              <w:t>Carry suitable clothing, food and drink</w:t>
            </w:r>
          </w:p>
          <w:p w:rsidR="009F6473" w:rsidRPr="006C4E4A" w:rsidRDefault="009F6473">
            <w:pPr>
              <w:rPr>
                <w:sz w:val="22"/>
              </w:rPr>
            </w:pPr>
            <w:r>
              <w:rPr>
                <w:sz w:val="22"/>
              </w:rPr>
              <w:t>Use leather gloves supplied by Education Officer when searching through gorse</w:t>
            </w:r>
          </w:p>
          <w:p w:rsidR="006C4E4A" w:rsidRPr="006C4E4A" w:rsidRDefault="006C4E4A">
            <w:pPr>
              <w:rPr>
                <w:sz w:val="22"/>
              </w:rPr>
            </w:pP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Pr="006C4E4A" w:rsidRDefault="006C4E4A" w:rsidP="006C4E4A">
            <w:pPr>
              <w:rPr>
                <w:sz w:val="22"/>
              </w:rPr>
            </w:pPr>
            <w:r w:rsidRPr="006C4E4A">
              <w:rPr>
                <w:sz w:val="22"/>
              </w:rPr>
              <w:t>Continuous monitoring of rainfall and track conditions</w:t>
            </w:r>
          </w:p>
          <w:p w:rsidR="006C4E4A" w:rsidRPr="006C4E4A" w:rsidRDefault="006C4E4A" w:rsidP="006C4E4A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Follow marker poles </w:t>
            </w:r>
          </w:p>
          <w:p w:rsidR="006C4E4A" w:rsidRDefault="006C4E4A" w:rsidP="006C4E4A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Stay on the track </w:t>
            </w:r>
          </w:p>
          <w:p w:rsidR="002929A6" w:rsidRDefault="002929A6" w:rsidP="006C4E4A">
            <w:pPr>
              <w:rPr>
                <w:sz w:val="22"/>
              </w:rPr>
            </w:pPr>
            <w:r>
              <w:rPr>
                <w:sz w:val="22"/>
              </w:rPr>
              <w:t xml:space="preserve">Remain as a quiet well behaved group </w:t>
            </w:r>
          </w:p>
          <w:p w:rsidR="00770A07" w:rsidRDefault="00CC3C5A" w:rsidP="006C4E4A">
            <w:pPr>
              <w:rPr>
                <w:sz w:val="22"/>
              </w:rPr>
            </w:pPr>
            <w:r>
              <w:rPr>
                <w:sz w:val="22"/>
              </w:rPr>
              <w:t>Only touch the two gates identified as safe by the Education Officer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Drive for the conditions at the time, slow down in the wet</w:t>
            </w:r>
          </w:p>
          <w:p w:rsidR="00EB4A9E" w:rsidRPr="006C4E4A" w:rsidRDefault="00EB4A9E" w:rsidP="006C4E4A">
            <w:pPr>
              <w:rPr>
                <w:sz w:val="22"/>
              </w:rPr>
            </w:pPr>
          </w:p>
        </w:tc>
      </w:tr>
      <w:tr w:rsidR="006C4E4A">
        <w:trPr>
          <w:cantSplit/>
        </w:trPr>
        <w:tc>
          <w:tcPr>
            <w:tcW w:w="2376" w:type="dxa"/>
            <w:tcBorders>
              <w:left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747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4E4A" w:rsidRPr="006C4E4A" w:rsidRDefault="006C4E4A">
            <w:pPr>
              <w:jc w:val="center"/>
              <w:rPr>
                <w:b/>
              </w:rPr>
            </w:pPr>
            <w:r w:rsidRPr="006C4E4A">
              <w:rPr>
                <w:b/>
                <w:sz w:val="22"/>
              </w:rPr>
              <w:t>Emergency</w:t>
            </w:r>
          </w:p>
        </w:tc>
      </w:tr>
      <w:tr w:rsidR="006C4E4A">
        <w:trPr>
          <w:cantSplit/>
        </w:trPr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rPr>
                <w:rFonts w:ascii="Arial" w:hAnsi="Arial"/>
              </w:rPr>
            </w:pPr>
          </w:p>
        </w:tc>
        <w:tc>
          <w:tcPr>
            <w:tcW w:w="7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First Aid kit and teacher/adult trained in first aid.</w:t>
            </w:r>
          </w:p>
          <w:p w:rsidR="00CC3C5A" w:rsidRDefault="006C4E4A" w:rsidP="00716DBC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Parents/students report injury/accident or near accident to Teacher immediately. Teacher co-ordinates emergency procedures. </w:t>
            </w:r>
          </w:p>
          <w:p w:rsidR="006C4E4A" w:rsidRPr="006C4E4A" w:rsidRDefault="006C4E4A" w:rsidP="00716DBC">
            <w:r w:rsidRPr="006C4E4A">
              <w:rPr>
                <w:sz w:val="22"/>
              </w:rPr>
              <w:t xml:space="preserve">When accessing emergency services </w:t>
            </w:r>
            <w:r w:rsidR="00770A07">
              <w:rPr>
                <w:sz w:val="22"/>
              </w:rPr>
              <w:t xml:space="preserve">at </w:t>
            </w:r>
            <w:proofErr w:type="spellStart"/>
            <w:r w:rsidR="002929A6">
              <w:rPr>
                <w:sz w:val="22"/>
              </w:rPr>
              <w:t>Mahoenui</w:t>
            </w:r>
            <w:proofErr w:type="spellEnd"/>
            <w:r w:rsidR="00770A07">
              <w:rPr>
                <w:sz w:val="22"/>
              </w:rPr>
              <w:t xml:space="preserve"> </w:t>
            </w:r>
            <w:r w:rsidRPr="006C4E4A">
              <w:rPr>
                <w:sz w:val="22"/>
              </w:rPr>
              <w:t xml:space="preserve">the location is: </w:t>
            </w:r>
            <w:proofErr w:type="spellStart"/>
            <w:r w:rsidR="002929A6">
              <w:rPr>
                <w:sz w:val="22"/>
              </w:rPr>
              <w:t>Mahoenui</w:t>
            </w:r>
            <w:proofErr w:type="spellEnd"/>
            <w:r w:rsidR="002929A6">
              <w:rPr>
                <w:sz w:val="22"/>
              </w:rPr>
              <w:t xml:space="preserve"> Scientific Reserve</w:t>
            </w:r>
            <w:r w:rsidRPr="006C4E4A">
              <w:rPr>
                <w:sz w:val="22"/>
              </w:rPr>
              <w:t xml:space="preserve">, </w:t>
            </w:r>
            <w:r w:rsidR="002929A6">
              <w:rPr>
                <w:sz w:val="22"/>
              </w:rPr>
              <w:t xml:space="preserve">5 km’s up </w:t>
            </w:r>
            <w:proofErr w:type="spellStart"/>
            <w:r w:rsidR="002929A6">
              <w:rPr>
                <w:sz w:val="22"/>
              </w:rPr>
              <w:t>Ngatarawa</w:t>
            </w:r>
            <w:proofErr w:type="spellEnd"/>
            <w:r w:rsidRPr="006C4E4A">
              <w:rPr>
                <w:sz w:val="22"/>
              </w:rPr>
              <w:t xml:space="preserve"> Rd, </w:t>
            </w:r>
            <w:r w:rsidR="00716DBC">
              <w:rPr>
                <w:sz w:val="22"/>
              </w:rPr>
              <w:t xml:space="preserve">23 km’s South of </w:t>
            </w:r>
            <w:proofErr w:type="spellStart"/>
            <w:r w:rsidR="00716DBC">
              <w:rPr>
                <w:sz w:val="22"/>
              </w:rPr>
              <w:t>Pio</w:t>
            </w:r>
            <w:proofErr w:type="spellEnd"/>
            <w:r w:rsidR="00716DBC">
              <w:rPr>
                <w:sz w:val="22"/>
              </w:rPr>
              <w:t xml:space="preserve"> </w:t>
            </w:r>
            <w:proofErr w:type="spellStart"/>
            <w:r w:rsidR="00716DBC">
              <w:rPr>
                <w:sz w:val="22"/>
              </w:rPr>
              <w:t>Pio</w:t>
            </w:r>
            <w:proofErr w:type="spellEnd"/>
            <w:r w:rsidR="00716DBC">
              <w:rPr>
                <w:sz w:val="22"/>
              </w:rPr>
              <w:t xml:space="preserve"> on Hwy 3</w:t>
            </w:r>
            <w:r w:rsidRPr="006C4E4A">
              <w:rPr>
                <w:sz w:val="22"/>
              </w:rPr>
              <w:t>.</w:t>
            </w:r>
          </w:p>
        </w:tc>
      </w:tr>
    </w:tbl>
    <w:p w:rsidR="006C4E4A" w:rsidRDefault="006C4E4A">
      <w:pPr>
        <w:rPr>
          <w:rFonts w:ascii="Arial" w:hAnsi="Arial"/>
        </w:rPr>
      </w:pPr>
    </w:p>
    <w:tbl>
      <w:tblPr>
        <w:tblW w:w="5000" w:type="pct"/>
        <w:tblLook w:val="0000"/>
      </w:tblPr>
      <w:tblGrid>
        <w:gridCol w:w="2627"/>
        <w:gridCol w:w="7228"/>
      </w:tblGrid>
      <w:tr w:rsidR="006C4E4A" w:rsidTr="006C4E4A">
        <w:trPr>
          <w:cantSplit/>
        </w:trPr>
        <w:tc>
          <w:tcPr>
            <w:tcW w:w="133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lastRenderedPageBreak/>
              <w:t>RELEVANT INDUSTRY STANDARDS APPLICABLE</w:t>
            </w:r>
          </w:p>
        </w:tc>
        <w:tc>
          <w:tcPr>
            <w:tcW w:w="366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4E4A" w:rsidRPr="006C4E4A" w:rsidRDefault="00CC3C5A">
            <w:pPr>
              <w:pStyle w:val="BodyTex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Mahoenui</w:t>
            </w:r>
            <w:proofErr w:type="spellEnd"/>
            <w:r>
              <w:rPr>
                <w:rFonts w:ascii="Times New Roman" w:hAnsi="Times New Roman"/>
              </w:rPr>
              <w:t xml:space="preserve"> Scientific Reserve</w:t>
            </w:r>
            <w:r w:rsidR="006C4E4A" w:rsidRPr="006C4E4A">
              <w:rPr>
                <w:rFonts w:ascii="Times New Roman" w:hAnsi="Times New Roman"/>
              </w:rPr>
              <w:t xml:space="preserve"> is maintained by the Department of Conservation and is compliant with </w:t>
            </w:r>
            <w:proofErr w:type="gramStart"/>
            <w:r w:rsidR="006C4E4A" w:rsidRPr="006C4E4A">
              <w:rPr>
                <w:rFonts w:ascii="Times New Roman" w:hAnsi="Times New Roman"/>
              </w:rPr>
              <w:t>current  NZ</w:t>
            </w:r>
            <w:proofErr w:type="gramEnd"/>
            <w:r w:rsidR="006C4E4A" w:rsidRPr="006C4E4A">
              <w:rPr>
                <w:rFonts w:ascii="Times New Roman" w:hAnsi="Times New Roman"/>
              </w:rPr>
              <w:t xml:space="preserve"> codes covering structural safety.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Land Transport Safety Authority vehicle licensing regulations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Land Transport Safety Authority driver regulations</w:t>
            </w:r>
          </w:p>
          <w:p w:rsidR="00EB4A9E" w:rsidRPr="00EB4A9E" w:rsidRDefault="00EB4A9E" w:rsidP="00EB4A9E">
            <w:pPr>
              <w:rPr>
                <w:sz w:val="22"/>
                <w:szCs w:val="22"/>
              </w:rPr>
            </w:pPr>
            <w:r w:rsidRPr="00EB4A9E">
              <w:rPr>
                <w:sz w:val="22"/>
                <w:szCs w:val="22"/>
              </w:rPr>
              <w:t>Occupational Safety and Health Act</w:t>
            </w:r>
          </w:p>
          <w:p w:rsidR="006C4E4A" w:rsidRPr="006C4E4A" w:rsidRDefault="006C4E4A">
            <w:pPr>
              <w:rPr>
                <w:sz w:val="22"/>
              </w:rPr>
            </w:pPr>
          </w:p>
        </w:tc>
      </w:tr>
      <w:tr w:rsidR="006C4E4A" w:rsidTr="006C4E4A">
        <w:trPr>
          <w:cantSplit/>
        </w:trPr>
        <w:tc>
          <w:tcPr>
            <w:tcW w:w="1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POLICIES AND GUIDELINES RECOMMENDED</w:t>
            </w:r>
          </w:p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C4E4A" w:rsidRPr="006C4E4A" w:rsidRDefault="006C4E4A">
            <w:pPr>
              <w:rPr>
                <w:sz w:val="22"/>
              </w:rPr>
            </w:pP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Disclosure of any medical problems in the group – (teacher to have class list).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Planning to include food/drinks for pupils.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 xml:space="preserve">Alternative programme has been considered if there is bad weather </w:t>
            </w:r>
          </w:p>
          <w:p w:rsidR="006C4E4A" w:rsidRPr="006C4E4A" w:rsidRDefault="00CC3C5A">
            <w:pPr>
              <w:rPr>
                <w:sz w:val="22"/>
              </w:rPr>
            </w:pPr>
            <w:r>
              <w:rPr>
                <w:sz w:val="22"/>
              </w:rPr>
              <w:t>No smoking, no matches and no lighters allowed on the reserve.</w:t>
            </w:r>
          </w:p>
          <w:p w:rsidR="006C4E4A" w:rsidRPr="006C4E4A" w:rsidRDefault="006C4E4A">
            <w:pPr>
              <w:rPr>
                <w:sz w:val="22"/>
              </w:rPr>
            </w:pPr>
          </w:p>
        </w:tc>
      </w:tr>
      <w:tr w:rsidR="006C4E4A" w:rsidTr="006C4E4A">
        <w:trPr>
          <w:cantSplit/>
        </w:trPr>
        <w:tc>
          <w:tcPr>
            <w:tcW w:w="1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C4E4A" w:rsidRDefault="006C4E4A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6C4E4A" w:rsidRDefault="006C4E4A" w:rsidP="00CC3C5A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SKILLS REQUIRED BY STAFF</w:t>
            </w:r>
          </w:p>
          <w:p w:rsidR="009F6473" w:rsidRDefault="009F6473" w:rsidP="00CC3C5A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6473" w:rsidRDefault="009F6473">
            <w:pPr>
              <w:rPr>
                <w:sz w:val="22"/>
              </w:rPr>
            </w:pP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Good communication with adults and students to set and carry out risk management strategies.</w:t>
            </w:r>
          </w:p>
          <w:p w:rsidR="006C4E4A" w:rsidRPr="006C4E4A" w:rsidRDefault="006C4E4A">
            <w:pPr>
              <w:rPr>
                <w:sz w:val="22"/>
              </w:rPr>
            </w:pPr>
            <w:proofErr w:type="spellStart"/>
            <w:r w:rsidRPr="006C4E4A">
              <w:rPr>
                <w:sz w:val="22"/>
              </w:rPr>
              <w:t>Consistant</w:t>
            </w:r>
            <w:proofErr w:type="spellEnd"/>
            <w:r w:rsidRPr="006C4E4A">
              <w:rPr>
                <w:sz w:val="22"/>
              </w:rPr>
              <w:t xml:space="preserve"> behavioural management techniques used.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Prior assessment of activity (via an orientation visit)</w:t>
            </w:r>
          </w:p>
          <w:p w:rsidR="006C4E4A" w:rsidRPr="006C4E4A" w:rsidRDefault="006C4E4A">
            <w:pPr>
              <w:rPr>
                <w:sz w:val="22"/>
              </w:rPr>
            </w:pPr>
            <w:r w:rsidRPr="006C4E4A">
              <w:rPr>
                <w:sz w:val="22"/>
              </w:rPr>
              <w:t>Continual environmental assessment.</w:t>
            </w:r>
          </w:p>
        </w:tc>
      </w:tr>
      <w:tr w:rsidR="006C4E4A" w:rsidTr="006C4E4A">
        <w:trPr>
          <w:cantSplit/>
        </w:trPr>
        <w:tc>
          <w:tcPr>
            <w:tcW w:w="500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C4E4A" w:rsidRDefault="006C4E4A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Some Suggestions for managing student groups:</w:t>
            </w:r>
          </w:p>
          <w:p w:rsidR="006C4E4A" w:rsidRPr="006C4E4A" w:rsidRDefault="006C4E4A">
            <w:pPr>
              <w:rPr>
                <w:b/>
                <w:sz w:val="28"/>
              </w:rPr>
            </w:pPr>
          </w:p>
          <w:p w:rsidR="006C4E4A" w:rsidRPr="006C4E4A" w:rsidRDefault="006C4E4A">
            <w:pPr>
              <w:numPr>
                <w:ilvl w:val="0"/>
                <w:numId w:val="2"/>
              </w:numPr>
              <w:rPr>
                <w:sz w:val="22"/>
              </w:rPr>
            </w:pPr>
            <w:r w:rsidRPr="006C4E4A">
              <w:rPr>
                <w:sz w:val="22"/>
              </w:rPr>
              <w:t>Break down students into smaller groups and assign them with an adult (assess behaviour management of students and place them with an appropriate adult).</w:t>
            </w:r>
          </w:p>
          <w:p w:rsidR="006C4E4A" w:rsidRPr="006C4E4A" w:rsidRDefault="006C4E4A">
            <w:pPr>
              <w:numPr>
                <w:ilvl w:val="0"/>
                <w:numId w:val="2"/>
              </w:numPr>
              <w:rPr>
                <w:sz w:val="22"/>
              </w:rPr>
            </w:pPr>
            <w:r w:rsidRPr="006C4E4A">
              <w:rPr>
                <w:sz w:val="22"/>
              </w:rPr>
              <w:t xml:space="preserve">Ensure that </w:t>
            </w:r>
            <w:r w:rsidR="009F6473">
              <w:rPr>
                <w:sz w:val="22"/>
              </w:rPr>
              <w:t>all</w:t>
            </w:r>
            <w:r w:rsidRPr="006C4E4A">
              <w:rPr>
                <w:sz w:val="22"/>
              </w:rPr>
              <w:t xml:space="preserve"> adults are aware of appropriate reassembly points, this is particularly important in keeping the group together and ensuring that students are made aware of significant features of the environment.</w:t>
            </w:r>
          </w:p>
          <w:p w:rsidR="006C4E4A" w:rsidRPr="006C4E4A" w:rsidRDefault="006C4E4A">
            <w:pPr>
              <w:numPr>
                <w:ilvl w:val="0"/>
                <w:numId w:val="2"/>
              </w:numPr>
              <w:rPr>
                <w:sz w:val="22"/>
              </w:rPr>
            </w:pPr>
            <w:r w:rsidRPr="006C4E4A">
              <w:rPr>
                <w:sz w:val="22"/>
              </w:rPr>
              <w:t>If an accident/injury does take place the teacher should leave the injured person with an adult and take the rest of the group to safety while another adult accesses help.</w:t>
            </w:r>
          </w:p>
          <w:p w:rsidR="006C4E4A" w:rsidRPr="006C4E4A" w:rsidRDefault="006C4E4A">
            <w:pPr>
              <w:numPr>
                <w:ilvl w:val="0"/>
                <w:numId w:val="2"/>
              </w:numPr>
              <w:rPr>
                <w:sz w:val="22"/>
              </w:rPr>
            </w:pPr>
            <w:r w:rsidRPr="006C4E4A">
              <w:rPr>
                <w:sz w:val="22"/>
              </w:rPr>
              <w:t>Ensure all students are clear on what they should do if they get separated from the group (i.e. sit down and wait for help).</w:t>
            </w:r>
          </w:p>
          <w:p w:rsidR="006C4E4A" w:rsidRDefault="006C4E4A">
            <w:pPr>
              <w:rPr>
                <w:rFonts w:ascii="Arial" w:hAnsi="Arial"/>
                <w:sz w:val="22"/>
              </w:rPr>
            </w:pPr>
          </w:p>
        </w:tc>
      </w:tr>
    </w:tbl>
    <w:p w:rsidR="006C4E4A" w:rsidRDefault="006C4E4A">
      <w:pPr>
        <w:rPr>
          <w:rFonts w:ascii="Arial" w:hAnsi="Arial"/>
        </w:rPr>
      </w:pPr>
    </w:p>
    <w:sectPr w:rsidR="006C4E4A" w:rsidSect="00F00D77">
      <w:headerReference w:type="default" r:id="rId8"/>
      <w:pgSz w:w="11907" w:h="16840"/>
      <w:pgMar w:top="624" w:right="1134" w:bottom="99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A9E" w:rsidRDefault="00EB4A9E" w:rsidP="00AA796C">
      <w:r>
        <w:separator/>
      </w:r>
    </w:p>
  </w:endnote>
  <w:endnote w:type="continuationSeparator" w:id="0">
    <w:p w:rsidR="00EB4A9E" w:rsidRDefault="00EB4A9E" w:rsidP="00AA7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A9E" w:rsidRDefault="00EB4A9E" w:rsidP="00AA796C">
      <w:r>
        <w:separator/>
      </w:r>
    </w:p>
  </w:footnote>
  <w:footnote w:type="continuationSeparator" w:id="0">
    <w:p w:rsidR="00EB4A9E" w:rsidRDefault="00EB4A9E" w:rsidP="00AA7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A9E" w:rsidRDefault="00EB4A9E">
    <w:pPr>
      <w:pStyle w:val="Header"/>
    </w:pPr>
    <w:r>
      <w:ptab w:relativeTo="margin" w:alignment="right" w:leader="none"/>
    </w:r>
    <w:r>
      <w:t>Last updated July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85EC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E8A63E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E4A"/>
    <w:rsid w:val="00203FD2"/>
    <w:rsid w:val="002929A6"/>
    <w:rsid w:val="006C4E4A"/>
    <w:rsid w:val="00716DBC"/>
    <w:rsid w:val="00770A07"/>
    <w:rsid w:val="00926CEA"/>
    <w:rsid w:val="009F6473"/>
    <w:rsid w:val="00AA796C"/>
    <w:rsid w:val="00CC3C5A"/>
    <w:rsid w:val="00DE0C1C"/>
    <w:rsid w:val="00EB4A9E"/>
    <w:rsid w:val="00EE0E3F"/>
    <w:rsid w:val="00F0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D77"/>
    <w:rPr>
      <w:rFonts w:ascii="Times New Roman" w:hAnsi="Times New Roman"/>
      <w:lang w:val="en-AU" w:eastAsia="en-US"/>
    </w:rPr>
  </w:style>
  <w:style w:type="paragraph" w:styleId="Heading1">
    <w:name w:val="heading 1"/>
    <w:basedOn w:val="Normal"/>
    <w:next w:val="Normal"/>
    <w:qFormat/>
    <w:rsid w:val="00F00D77"/>
    <w:pPr>
      <w:keepNext/>
      <w:jc w:val="center"/>
      <w:outlineLvl w:val="0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00D77"/>
    <w:pPr>
      <w:jc w:val="center"/>
    </w:pPr>
    <w:rPr>
      <w:rFonts w:ascii="Arial" w:hAnsi="Arial"/>
      <w:b/>
      <w:sz w:val="32"/>
      <w:u w:val="single"/>
    </w:rPr>
  </w:style>
  <w:style w:type="paragraph" w:styleId="BodyText">
    <w:name w:val="Body Text"/>
    <w:basedOn w:val="Normal"/>
    <w:semiHidden/>
    <w:rsid w:val="00F00D77"/>
    <w:rPr>
      <w:rFonts w:ascii="Arial" w:hAnsi="Arial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AA79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796C"/>
    <w:rPr>
      <w:rFonts w:ascii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A79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796C"/>
    <w:rPr>
      <w:rFonts w:ascii="Times New Roman" w:hAnsi="Times New Roman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27F4-620F-41E4-A08B-868628B2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-(Dr. Diet Mountain Dew)-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3</cp:revision>
  <cp:lastPrinted>2005-02-23T22:50:00Z</cp:lastPrinted>
  <dcterms:created xsi:type="dcterms:W3CDTF">2010-08-02T02:03:00Z</dcterms:created>
  <dcterms:modified xsi:type="dcterms:W3CDTF">2010-08-02T02:33:00Z</dcterms:modified>
</cp:coreProperties>
</file>